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 </w:t>
      </w:r>
      <w:r w:rsidDel="00000000" w:rsidR="00000000" w:rsidRPr="00000000">
        <w:rPr/>
        <w:drawing>
          <wp:inline distB="114300" distT="114300" distL="114300" distR="114300">
            <wp:extent cx="5943600" cy="351790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943600" cy="35179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John O’Neill </w:t>
      </w:r>
    </w:p>
    <w:p w:rsidR="00000000" w:rsidDel="00000000" w:rsidP="00000000" w:rsidRDefault="00000000" w:rsidRPr="00000000" w14:paraId="00000004">
      <w:pPr>
        <w:rPr>
          <w:b w:val="1"/>
          <w:i w:val="1"/>
        </w:rPr>
      </w:pPr>
      <w:r w:rsidDel="00000000" w:rsidR="00000000" w:rsidRPr="00000000">
        <w:rPr>
          <w:b w:val="1"/>
          <w:rtl w:val="0"/>
        </w:rPr>
        <w:t xml:space="preserve">Designation: President, Digital + Analytics </w:t>
      </w:r>
      <w:r w:rsidDel="00000000" w:rsidR="00000000" w:rsidRPr="00000000">
        <w:rPr>
          <w:b w:val="1"/>
          <w:i w:val="1"/>
          <w:rtl w:val="0"/>
        </w:rPr>
        <w:t xml:space="preserve">(is this correct?) </w:t>
      </w:r>
    </w:p>
    <w:p w:rsidR="00000000" w:rsidDel="00000000" w:rsidP="00000000" w:rsidRDefault="00000000" w:rsidRPr="00000000" w14:paraId="00000005">
      <w:pPr>
        <w:rPr/>
      </w:pPr>
      <w:r w:rsidDel="00000000" w:rsidR="00000000" w:rsidRPr="00000000">
        <w:rPr>
          <w:b w:val="1"/>
          <w:rtl w:val="0"/>
        </w:rPr>
        <w:t xml:space="preserve">Bio: </w:t>
      </w:r>
      <w:r w:rsidDel="00000000" w:rsidR="00000000" w:rsidRPr="00000000">
        <w:rPr>
          <w:rtl w:val="0"/>
        </w:rPr>
        <w:t xml:space="preserve">John is a highly motivated client success leader with a proven ability to translate business objectives and marketing strategies into meticulously crafted solutions. With a robust track record spanning over a decade, John has successfully guided numerous Fortune 500 companies in the manufacturing, healthcare, and retail sectors through intricate, multifaceted engagements. These endeavors seamlessly integrate digital strategy, experience design, and software development to achieve remarkable results.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Through continuous dedication to deepening his understanding of clients' specific industries and business operations, John has emerged as a trusted and invaluable advisor. He consistently contributes to the sustained profitability and enduring growth of his clients' enterprises. His extensive experience, combined with his innate ability to foster alignment within large groups, underscores his exceptional skill set and capacity to excel in complex professional settings.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